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3BE" w:rsidRPr="009E63D6" w:rsidRDefault="00D903BE" w:rsidP="009E63D6">
      <w:pPr>
        <w:spacing w:line="480" w:lineRule="auto"/>
        <w:rPr>
          <w:rFonts w:ascii="Times New Roman" w:hAnsi="Times New Roman" w:cs="Times New Roman"/>
          <w:sz w:val="24"/>
          <w:szCs w:val="24"/>
        </w:rPr>
      </w:pPr>
    </w:p>
    <w:p w:rsidR="00D903BE" w:rsidRPr="009E63D6" w:rsidRDefault="00D903BE" w:rsidP="009E63D6">
      <w:pPr>
        <w:spacing w:line="480" w:lineRule="auto"/>
        <w:rPr>
          <w:rFonts w:ascii="Times New Roman" w:hAnsi="Times New Roman" w:cs="Times New Roman"/>
          <w:sz w:val="24"/>
          <w:szCs w:val="24"/>
        </w:rPr>
      </w:pPr>
    </w:p>
    <w:p w:rsidR="00D903BE" w:rsidRPr="009E63D6" w:rsidRDefault="00D903BE" w:rsidP="009E63D6">
      <w:pPr>
        <w:spacing w:line="480" w:lineRule="auto"/>
        <w:rPr>
          <w:rFonts w:ascii="Times New Roman" w:hAnsi="Times New Roman" w:cs="Times New Roman"/>
          <w:sz w:val="24"/>
          <w:szCs w:val="24"/>
        </w:rPr>
      </w:pPr>
      <w:r w:rsidRPr="009E63D6">
        <w:rPr>
          <w:rFonts w:ascii="Times New Roman" w:hAnsi="Times New Roman" w:cs="Times New Roman"/>
          <w:sz w:val="24"/>
          <w:szCs w:val="24"/>
        </w:rPr>
        <w:tab/>
      </w:r>
      <w:r w:rsidRPr="009E63D6">
        <w:rPr>
          <w:rFonts w:ascii="Times New Roman" w:hAnsi="Times New Roman" w:cs="Times New Roman"/>
          <w:sz w:val="24"/>
          <w:szCs w:val="24"/>
        </w:rPr>
        <w:tab/>
      </w:r>
      <w:r w:rsidRPr="009E63D6">
        <w:rPr>
          <w:rFonts w:ascii="Times New Roman" w:hAnsi="Times New Roman" w:cs="Times New Roman"/>
          <w:sz w:val="24"/>
          <w:szCs w:val="24"/>
        </w:rPr>
        <w:tab/>
      </w:r>
      <w:r w:rsidRPr="009E63D6">
        <w:rPr>
          <w:rFonts w:ascii="Times New Roman" w:hAnsi="Times New Roman" w:cs="Times New Roman"/>
          <w:sz w:val="24"/>
          <w:szCs w:val="24"/>
        </w:rPr>
        <w:tab/>
        <w:t>OCBC, MORE THAN JUST MONEY</w:t>
      </w:r>
    </w:p>
    <w:p w:rsidR="00D903BE" w:rsidRPr="009E63D6" w:rsidRDefault="00D903BE" w:rsidP="009E63D6">
      <w:pPr>
        <w:spacing w:line="480" w:lineRule="auto"/>
        <w:rPr>
          <w:rFonts w:ascii="Times New Roman" w:hAnsi="Times New Roman" w:cs="Times New Roman"/>
          <w:sz w:val="24"/>
          <w:szCs w:val="24"/>
        </w:rPr>
      </w:pPr>
      <w:r w:rsidRPr="009E63D6">
        <w:rPr>
          <w:rFonts w:ascii="Times New Roman" w:hAnsi="Times New Roman" w:cs="Times New Roman"/>
          <w:sz w:val="24"/>
          <w:szCs w:val="24"/>
        </w:rPr>
        <w:tab/>
      </w:r>
      <w:r w:rsidRPr="009E63D6">
        <w:rPr>
          <w:rFonts w:ascii="Times New Roman" w:hAnsi="Times New Roman" w:cs="Times New Roman"/>
          <w:sz w:val="24"/>
          <w:szCs w:val="24"/>
        </w:rPr>
        <w:tab/>
      </w:r>
      <w:r w:rsidRPr="009E63D6">
        <w:rPr>
          <w:rFonts w:ascii="Times New Roman" w:hAnsi="Times New Roman" w:cs="Times New Roman"/>
          <w:sz w:val="24"/>
          <w:szCs w:val="24"/>
        </w:rPr>
        <w:tab/>
      </w:r>
      <w:r w:rsidRPr="009E63D6">
        <w:rPr>
          <w:rFonts w:ascii="Times New Roman" w:hAnsi="Times New Roman" w:cs="Times New Roman"/>
          <w:sz w:val="24"/>
          <w:szCs w:val="24"/>
        </w:rPr>
        <w:tab/>
      </w:r>
      <w:r w:rsidRPr="009E63D6">
        <w:rPr>
          <w:rFonts w:ascii="Times New Roman" w:hAnsi="Times New Roman" w:cs="Times New Roman"/>
          <w:sz w:val="24"/>
          <w:szCs w:val="24"/>
        </w:rPr>
        <w:tab/>
        <w:t xml:space="preserve">    Shasta Longley</w:t>
      </w:r>
      <w:r w:rsidRPr="009E63D6">
        <w:rPr>
          <w:rFonts w:ascii="Times New Roman" w:hAnsi="Times New Roman" w:cs="Times New Roman"/>
          <w:sz w:val="24"/>
          <w:szCs w:val="24"/>
        </w:rPr>
        <w:tab/>
      </w:r>
    </w:p>
    <w:p w:rsidR="00D903BE" w:rsidRPr="009E63D6" w:rsidRDefault="00D903BE" w:rsidP="009E63D6">
      <w:pPr>
        <w:spacing w:line="480" w:lineRule="auto"/>
        <w:ind w:left="1440" w:firstLine="720"/>
        <w:rPr>
          <w:rFonts w:ascii="Times New Roman" w:hAnsi="Times New Roman" w:cs="Times New Roman"/>
          <w:sz w:val="24"/>
          <w:szCs w:val="24"/>
        </w:rPr>
      </w:pPr>
      <w:r w:rsidRPr="009E63D6">
        <w:rPr>
          <w:rFonts w:ascii="Times New Roman" w:hAnsi="Times New Roman" w:cs="Times New Roman"/>
          <w:sz w:val="24"/>
          <w:szCs w:val="24"/>
        </w:rPr>
        <w:t xml:space="preserve">        OMM 618 Human Resources Management</w:t>
      </w:r>
    </w:p>
    <w:p w:rsidR="00D903BE" w:rsidRPr="009E63D6" w:rsidRDefault="00D903BE" w:rsidP="009E63D6">
      <w:pPr>
        <w:spacing w:line="480" w:lineRule="auto"/>
        <w:ind w:left="2160" w:firstLine="720"/>
        <w:rPr>
          <w:rFonts w:ascii="Times New Roman" w:hAnsi="Times New Roman" w:cs="Times New Roman"/>
          <w:sz w:val="24"/>
          <w:szCs w:val="24"/>
        </w:rPr>
      </w:pPr>
      <w:r w:rsidRPr="009E63D6">
        <w:rPr>
          <w:rFonts w:ascii="Times New Roman" w:hAnsi="Times New Roman" w:cs="Times New Roman"/>
          <w:sz w:val="24"/>
          <w:szCs w:val="24"/>
        </w:rPr>
        <w:t xml:space="preserve">         Instructor: Robert DeYoung</w:t>
      </w:r>
    </w:p>
    <w:p w:rsidR="00D903BE" w:rsidRPr="009E63D6" w:rsidRDefault="00D903BE" w:rsidP="009E63D6">
      <w:pPr>
        <w:spacing w:line="480" w:lineRule="auto"/>
        <w:rPr>
          <w:rFonts w:ascii="Times New Roman" w:hAnsi="Times New Roman" w:cs="Times New Roman"/>
          <w:sz w:val="24"/>
          <w:szCs w:val="24"/>
        </w:rPr>
      </w:pPr>
      <w:r w:rsidRPr="009E63D6">
        <w:rPr>
          <w:rFonts w:ascii="Times New Roman" w:hAnsi="Times New Roman" w:cs="Times New Roman"/>
          <w:sz w:val="24"/>
          <w:szCs w:val="24"/>
        </w:rPr>
        <w:t xml:space="preserve">                                                                       7/9/2019</w:t>
      </w:r>
    </w:p>
    <w:p w:rsidR="00D903BE" w:rsidRPr="009E63D6" w:rsidRDefault="00D903BE" w:rsidP="009E63D6">
      <w:pPr>
        <w:spacing w:line="480" w:lineRule="auto"/>
        <w:rPr>
          <w:rFonts w:ascii="Times New Roman" w:hAnsi="Times New Roman" w:cs="Times New Roman"/>
          <w:sz w:val="24"/>
          <w:szCs w:val="24"/>
        </w:rPr>
      </w:pPr>
    </w:p>
    <w:p w:rsidR="00D903BE" w:rsidRPr="009E63D6" w:rsidRDefault="00D903BE" w:rsidP="009E63D6">
      <w:pPr>
        <w:spacing w:line="480" w:lineRule="auto"/>
        <w:rPr>
          <w:rFonts w:ascii="Times New Roman" w:hAnsi="Times New Roman" w:cs="Times New Roman"/>
          <w:sz w:val="24"/>
          <w:szCs w:val="24"/>
        </w:rPr>
      </w:pPr>
    </w:p>
    <w:p w:rsidR="00D903BE" w:rsidRPr="009E63D6" w:rsidRDefault="00D903BE" w:rsidP="009E63D6">
      <w:pPr>
        <w:spacing w:line="480" w:lineRule="auto"/>
        <w:rPr>
          <w:rFonts w:ascii="Times New Roman" w:hAnsi="Times New Roman" w:cs="Times New Roman"/>
          <w:sz w:val="24"/>
          <w:szCs w:val="24"/>
        </w:rPr>
      </w:pPr>
    </w:p>
    <w:p w:rsidR="009E63D6" w:rsidRDefault="009E63D6">
      <w:pPr>
        <w:rPr>
          <w:rFonts w:ascii="Times New Roman" w:hAnsi="Times New Roman" w:cs="Times New Roman"/>
          <w:sz w:val="24"/>
          <w:szCs w:val="24"/>
        </w:rPr>
      </w:pPr>
      <w:r>
        <w:rPr>
          <w:rFonts w:ascii="Times New Roman" w:hAnsi="Times New Roman" w:cs="Times New Roman"/>
          <w:sz w:val="24"/>
          <w:szCs w:val="24"/>
        </w:rPr>
        <w:br w:type="page"/>
      </w:r>
    </w:p>
    <w:p w:rsidR="00944056" w:rsidRPr="009E63D6" w:rsidRDefault="00944056" w:rsidP="009E63D6">
      <w:pPr>
        <w:numPr>
          <w:ilvl w:val="0"/>
          <w:numId w:val="2"/>
        </w:numPr>
        <w:spacing w:line="480" w:lineRule="auto"/>
        <w:rPr>
          <w:rFonts w:ascii="Times New Roman" w:hAnsi="Times New Roman" w:cs="Times New Roman"/>
          <w:i/>
          <w:sz w:val="24"/>
          <w:szCs w:val="24"/>
        </w:rPr>
      </w:pPr>
      <w:r w:rsidRPr="009E63D6">
        <w:rPr>
          <w:rFonts w:ascii="Times New Roman" w:hAnsi="Times New Roman" w:cs="Times New Roman"/>
          <w:i/>
          <w:sz w:val="24"/>
          <w:szCs w:val="24"/>
        </w:rPr>
        <w:lastRenderedPageBreak/>
        <w:t>Describe OCBC’s unique approach to talent management and development.</w:t>
      </w:r>
    </w:p>
    <w:p w:rsidR="009E63D6" w:rsidRPr="009E63D6" w:rsidRDefault="009E63D6" w:rsidP="009E63D6">
      <w:pPr>
        <w:spacing w:line="480" w:lineRule="auto"/>
        <w:ind w:firstLine="360"/>
        <w:rPr>
          <w:rFonts w:ascii="Times New Roman" w:eastAsia="Times New Roman" w:hAnsi="Times New Roman" w:cs="Times New Roman"/>
          <w:color w:val="000000"/>
          <w:sz w:val="24"/>
          <w:szCs w:val="24"/>
        </w:rPr>
      </w:pPr>
      <w:r w:rsidRPr="009E63D6">
        <w:rPr>
          <w:rFonts w:ascii="Times New Roman" w:eastAsia="Times New Roman" w:hAnsi="Times New Roman" w:cs="Times New Roman"/>
          <w:color w:val="000000"/>
          <w:sz w:val="24"/>
          <w:szCs w:val="24"/>
        </w:rPr>
        <w:t>OCBC Bank provided a wide range of financial services including consumer, corporate and personal finance, international funds, corporate finance, capital exchange, assets management, and fund broking companies. OCBC 'funds' policy company, big Eastern Holding, is the most substantial policy set in Singapore and Malaysia by assets. It assets organization company, cat Global Investors, constitutes one of the largest private-sector asset organization corporations in Southeast Asia. The organization provides complete diversity among others, e.g., an innovative method of business and finance services in consumer banking, commerce, finance, international Treasury, and finance management. This OCBC Group has different kinds of subordinates that are involved in business future, policy, asset management, location fund broking, nominee, fiduciary and custodian services; building management and property development, also</w:t>
      </w:r>
      <w:r w:rsidR="006C76FC">
        <w:rPr>
          <w:rFonts w:ascii="Times New Roman" w:eastAsia="Times New Roman" w:hAnsi="Times New Roman" w:cs="Times New Roman"/>
          <w:color w:val="000000"/>
          <w:sz w:val="24"/>
          <w:szCs w:val="24"/>
        </w:rPr>
        <w:t xml:space="preserve"> (</w:t>
      </w:r>
      <w:proofErr w:type="spellStart"/>
      <w:r w:rsidR="006C76FC">
        <w:rPr>
          <w:rFonts w:ascii="Times New Roman" w:eastAsia="Times New Roman" w:hAnsi="Times New Roman" w:cs="Times New Roman"/>
          <w:color w:val="000000"/>
          <w:sz w:val="24"/>
          <w:szCs w:val="24"/>
        </w:rPr>
        <w:t>Choudhry</w:t>
      </w:r>
      <w:proofErr w:type="spellEnd"/>
      <w:r w:rsidR="006C76FC">
        <w:rPr>
          <w:rFonts w:ascii="Times New Roman" w:eastAsia="Times New Roman" w:hAnsi="Times New Roman" w:cs="Times New Roman"/>
          <w:color w:val="000000"/>
          <w:sz w:val="24"/>
          <w:szCs w:val="24"/>
        </w:rPr>
        <w:t xml:space="preserve">, </w:t>
      </w:r>
      <w:r w:rsidR="006C76FC" w:rsidRPr="006C76FC">
        <w:rPr>
          <w:rFonts w:ascii="Times New Roman" w:eastAsia="Times New Roman" w:hAnsi="Times New Roman" w:cs="Times New Roman"/>
          <w:color w:val="000000"/>
          <w:sz w:val="24"/>
          <w:szCs w:val="24"/>
        </w:rPr>
        <w:t>2018). </w:t>
      </w:r>
    </w:p>
    <w:p w:rsidR="009E63D6" w:rsidRPr="009E63D6" w:rsidRDefault="009E63D6" w:rsidP="009E63D6">
      <w:pPr>
        <w:spacing w:line="480" w:lineRule="auto"/>
        <w:ind w:firstLine="360"/>
        <w:rPr>
          <w:rFonts w:ascii="Times New Roman" w:eastAsia="Times New Roman" w:hAnsi="Times New Roman" w:cs="Times New Roman"/>
          <w:color w:val="000000"/>
          <w:sz w:val="24"/>
          <w:szCs w:val="24"/>
        </w:rPr>
      </w:pPr>
      <w:r w:rsidRPr="009E63D6">
        <w:rPr>
          <w:rFonts w:ascii="Times New Roman" w:eastAsia="Times New Roman" w:hAnsi="Times New Roman" w:cs="Times New Roman"/>
          <w:color w:val="000000"/>
          <w:sz w:val="24"/>
          <w:szCs w:val="24"/>
        </w:rPr>
        <w:t>OCBC Group provides a variety of specialist business services that included consumer, corporate finance, premier and transaction banking, and international Treasury services. OCBC group's concerns are represented at the following Consumer and product segments: Global Consumer Financial Services, Global Corporate finance, Global funds, and policy. The primary competitor of OCBC Group is Citigroup because they presented their product portfolio at similar sections. While 'OCBC's way to develop its property management capabilities is a positive change, one should not expect that part to overcome the income contributions from those collective loans anytime soon. By and large, collective investments even represent the volume of OCBC set's income.</w:t>
      </w:r>
    </w:p>
    <w:p w:rsidR="00D903BE" w:rsidRPr="009E63D6" w:rsidRDefault="009E63D6" w:rsidP="009E63D6">
      <w:pPr>
        <w:spacing w:line="480" w:lineRule="auto"/>
        <w:ind w:firstLine="360"/>
        <w:rPr>
          <w:rFonts w:ascii="Times New Roman" w:hAnsi="Times New Roman" w:cs="Times New Roman"/>
          <w:sz w:val="24"/>
          <w:szCs w:val="24"/>
        </w:rPr>
      </w:pPr>
      <w:r w:rsidRPr="009E63D6">
        <w:rPr>
          <w:rFonts w:ascii="Times New Roman" w:eastAsia="Times New Roman" w:hAnsi="Times New Roman" w:cs="Times New Roman"/>
          <w:color w:val="000000"/>
          <w:sz w:val="24"/>
          <w:szCs w:val="24"/>
        </w:rPr>
        <w:lastRenderedPageBreak/>
        <w:t>Nevertheless, with the excellent branding and strategic hires, donations from that property organization may turn into a game-changer for OCBC group in the near future. Investors of OCBC should pay short attention to the process. They have not invested in OCBC contributions.</w:t>
      </w:r>
    </w:p>
    <w:p w:rsidR="008552E5" w:rsidRPr="009E63D6" w:rsidRDefault="008F54A9" w:rsidP="009E63D6">
      <w:pPr>
        <w:pStyle w:val="ListParagraph"/>
        <w:numPr>
          <w:ilvl w:val="0"/>
          <w:numId w:val="2"/>
        </w:numPr>
        <w:spacing w:line="480" w:lineRule="auto"/>
        <w:rPr>
          <w:rFonts w:ascii="Times New Roman" w:hAnsi="Times New Roman" w:cs="Times New Roman"/>
          <w:i/>
          <w:sz w:val="24"/>
          <w:szCs w:val="24"/>
        </w:rPr>
      </w:pPr>
      <w:r w:rsidRPr="009E63D6">
        <w:rPr>
          <w:rFonts w:ascii="Times New Roman" w:hAnsi="Times New Roman" w:cs="Times New Roman"/>
          <w:i/>
          <w:sz w:val="24"/>
          <w:szCs w:val="24"/>
        </w:rPr>
        <w:t>Compare OCBC’s approach to talent management and development to other organizations you are familiar with (e.g., current or past employers, a family business).</w:t>
      </w:r>
    </w:p>
    <w:p w:rsidR="00595953" w:rsidRPr="00595953" w:rsidRDefault="00BF09A4" w:rsidP="00595953">
      <w:pPr>
        <w:spacing w:line="480" w:lineRule="auto"/>
        <w:ind w:firstLine="360"/>
        <w:rPr>
          <w:rFonts w:ascii="Times New Roman" w:hAnsi="Times New Roman" w:cs="Times New Roman"/>
          <w:sz w:val="24"/>
          <w:szCs w:val="24"/>
        </w:rPr>
      </w:pPr>
      <w:r w:rsidRPr="009E63D6">
        <w:rPr>
          <w:rFonts w:ascii="Times New Roman" w:hAnsi="Times New Roman" w:cs="Times New Roman"/>
          <w:sz w:val="24"/>
          <w:szCs w:val="24"/>
        </w:rPr>
        <w:t xml:space="preserve"> OCBC's ROA got diminished in 2011 if compared to the past year because of the net income, and overall asset of OCBC got increased. This asset of OCBC cost growing proactively because of balanced with trained risk management. Nevertheless, change in ROA may appear that OCBC is an inefficient use of its assets. Non-interest income to complete income is the index of measure of the proportion of funds' overall income that has been generated by non-interest related actions, e.g., fees and fee, trading gain, etc. The higher percentage indicated that the bank is not relying on its lending activities to make income. From the procedure over, non-interest income to overall income of OCBC had diminished. This is because of OCBC's gross income change because of substantial growing wealth management income, money administration, and investment banking fees, trade-related fees, and maintenance charges. Still, a reduced proportion of non-interest income to gross income had shown that OCBC is relying on its lending activities to make income. </w:t>
      </w:r>
      <w:r w:rsidR="00595953" w:rsidRPr="00595953">
        <w:rPr>
          <w:rFonts w:ascii="Times New Roman" w:hAnsi="Times New Roman" w:cs="Times New Roman"/>
          <w:sz w:val="24"/>
          <w:szCs w:val="24"/>
        </w:rPr>
        <w:t xml:space="preserve">New or past bosses, family business).To what point do you acknowledge that OCBC's approach to ability the executives and development the primary contributing variable in its prosperity? What will be diverse, contributing components? What exactly degree does OCBC's way to deal with the ability the executives and development suit various kinds of associations or ventures? </w:t>
      </w:r>
    </w:p>
    <w:p w:rsidR="00595953" w:rsidRPr="00595953" w:rsidRDefault="00595953" w:rsidP="00595953">
      <w:pPr>
        <w:spacing w:line="480" w:lineRule="auto"/>
        <w:ind w:firstLine="360"/>
        <w:rPr>
          <w:rFonts w:ascii="Times New Roman" w:hAnsi="Times New Roman" w:cs="Times New Roman"/>
          <w:sz w:val="24"/>
          <w:szCs w:val="24"/>
        </w:rPr>
      </w:pPr>
    </w:p>
    <w:p w:rsidR="00595953" w:rsidRPr="009E63D6" w:rsidRDefault="00595953" w:rsidP="009E63D6">
      <w:pPr>
        <w:spacing w:line="480" w:lineRule="auto"/>
        <w:ind w:firstLine="360"/>
        <w:rPr>
          <w:rFonts w:ascii="Times New Roman" w:hAnsi="Times New Roman" w:cs="Times New Roman"/>
          <w:sz w:val="24"/>
          <w:szCs w:val="24"/>
        </w:rPr>
      </w:pPr>
      <w:r w:rsidRPr="00595953">
        <w:rPr>
          <w:rFonts w:ascii="Times New Roman" w:hAnsi="Times New Roman" w:cs="Times New Roman"/>
          <w:sz w:val="24"/>
          <w:szCs w:val="24"/>
        </w:rPr>
        <w:lastRenderedPageBreak/>
        <w:t xml:space="preserve">The ability the executive's practices </w:t>
      </w:r>
      <w:proofErr w:type="gramStart"/>
      <w:r w:rsidRPr="00595953">
        <w:rPr>
          <w:rFonts w:ascii="Times New Roman" w:hAnsi="Times New Roman" w:cs="Times New Roman"/>
          <w:sz w:val="24"/>
          <w:szCs w:val="24"/>
        </w:rPr>
        <w:t>exist</w:t>
      </w:r>
      <w:proofErr w:type="gramEnd"/>
      <w:r w:rsidRPr="00595953">
        <w:rPr>
          <w:rFonts w:ascii="Times New Roman" w:hAnsi="Times New Roman" w:cs="Times New Roman"/>
          <w:sz w:val="24"/>
          <w:szCs w:val="24"/>
        </w:rPr>
        <w:t xml:space="preserve"> change as per the association's points and systems. Associations are accessible to customized TM plots that best intrigue to their universe of business. All things considered, far-reaching and elite way likewise contrasts as indicated by the idea of the activity of the association and the procedure of ability request. Development techniques might be for various gatherings; however, not really named as 'ability.' For example, a thorough way may not suitable for open segment workers. As per the entire power may not be one 'all character cast.' Thus, associations may receive the most ideal method for rendering to their gifts.</w:t>
      </w:r>
    </w:p>
    <w:p w:rsidR="008115AF" w:rsidRPr="009E63D6" w:rsidRDefault="00CC4BC8" w:rsidP="009E63D6">
      <w:pPr>
        <w:pStyle w:val="ListParagraph"/>
        <w:numPr>
          <w:ilvl w:val="0"/>
          <w:numId w:val="2"/>
        </w:numPr>
        <w:spacing w:line="480" w:lineRule="auto"/>
        <w:rPr>
          <w:rFonts w:ascii="Times New Roman" w:hAnsi="Times New Roman" w:cs="Times New Roman"/>
          <w:i/>
          <w:sz w:val="24"/>
          <w:szCs w:val="24"/>
        </w:rPr>
      </w:pPr>
      <w:r w:rsidRPr="009E63D6">
        <w:rPr>
          <w:rFonts w:ascii="Times New Roman" w:hAnsi="Times New Roman" w:cs="Times New Roman"/>
          <w:i/>
          <w:sz w:val="24"/>
          <w:szCs w:val="24"/>
        </w:rPr>
        <w:t>Explain how OCBC’s approach to talent management and employee development been a primary contributing factor to the firm’s success.</w:t>
      </w:r>
    </w:p>
    <w:p w:rsidR="000A3D7F" w:rsidRDefault="00BF09A4" w:rsidP="009E63D6">
      <w:pPr>
        <w:spacing w:line="480" w:lineRule="auto"/>
        <w:ind w:firstLine="360"/>
        <w:rPr>
          <w:rFonts w:ascii="Times New Roman" w:hAnsi="Times New Roman" w:cs="Times New Roman"/>
          <w:i/>
          <w:iCs/>
          <w:sz w:val="24"/>
          <w:szCs w:val="24"/>
        </w:rPr>
      </w:pPr>
      <w:r w:rsidRPr="009E63D6">
        <w:rPr>
          <w:rFonts w:ascii="Times New Roman" w:hAnsi="Times New Roman" w:cs="Times New Roman"/>
          <w:sz w:val="24"/>
          <w:szCs w:val="24"/>
        </w:rPr>
        <w:t>There are numerous benefits of expert management, including increased worker motivation, execution, and engagement factors which help organizations appeal and retain the best talent. Nowadays, companies are changing the way they consider talent management, redesigning the way they act process, education and growth, correction, coaching, and more. OCBC’s Human resource and expert administration are closely related, but they play somewhat different roles. Remember expert management as the important arm of Human resource it is concentrated on how to accomplish long-term goals rather than the more tactical, day-to-day organization of employees. HR also tends to be more focused as its own division, whereas talent management operations are mostly moved out across the entire organization with different sector directors preparing and carrying out particular duties.</w:t>
      </w:r>
      <w:r w:rsidR="000A3D7F" w:rsidRPr="000A3D7F">
        <w:rPr>
          <w:rFonts w:ascii="Arial" w:hAnsi="Arial" w:cs="Arial"/>
          <w:color w:val="222222"/>
          <w:sz w:val="20"/>
          <w:szCs w:val="20"/>
          <w:shd w:val="clear" w:color="auto" w:fill="FFFFFF"/>
        </w:rPr>
        <w:t xml:space="preserve"> </w:t>
      </w:r>
      <w:proofErr w:type="gramStart"/>
      <w:r w:rsidR="000A3D7F">
        <w:rPr>
          <w:rFonts w:ascii="Arial" w:hAnsi="Arial" w:cs="Arial"/>
          <w:color w:val="222222"/>
          <w:sz w:val="20"/>
          <w:szCs w:val="20"/>
          <w:shd w:val="clear" w:color="auto" w:fill="FFFFFF"/>
        </w:rPr>
        <w:t>(</w:t>
      </w:r>
      <w:proofErr w:type="spellStart"/>
      <w:r w:rsidR="000A3D7F">
        <w:rPr>
          <w:rFonts w:ascii="Times New Roman" w:hAnsi="Times New Roman" w:cs="Times New Roman"/>
          <w:sz w:val="24"/>
          <w:szCs w:val="24"/>
        </w:rPr>
        <w:t>Nurdin</w:t>
      </w:r>
      <w:proofErr w:type="spellEnd"/>
      <w:r w:rsidR="000A3D7F">
        <w:rPr>
          <w:rFonts w:ascii="Times New Roman" w:hAnsi="Times New Roman" w:cs="Times New Roman"/>
          <w:sz w:val="24"/>
          <w:szCs w:val="24"/>
        </w:rPr>
        <w:t xml:space="preserve">, </w:t>
      </w:r>
      <w:r w:rsidR="000A3D7F" w:rsidRPr="000A3D7F">
        <w:rPr>
          <w:rFonts w:ascii="Times New Roman" w:hAnsi="Times New Roman" w:cs="Times New Roman"/>
          <w:sz w:val="24"/>
          <w:szCs w:val="24"/>
        </w:rPr>
        <w:t>2017).</w:t>
      </w:r>
      <w:proofErr w:type="gramEnd"/>
      <w:r w:rsidR="000A3D7F" w:rsidRPr="000A3D7F">
        <w:rPr>
          <w:rFonts w:ascii="Times New Roman" w:hAnsi="Times New Roman" w:cs="Times New Roman"/>
          <w:sz w:val="24"/>
          <w:szCs w:val="24"/>
        </w:rPr>
        <w:t> </w:t>
      </w:r>
    </w:p>
    <w:p w:rsidR="00595953" w:rsidRPr="009E63D6" w:rsidRDefault="000A3D7F" w:rsidP="009E63D6">
      <w:pPr>
        <w:spacing w:line="480" w:lineRule="auto"/>
        <w:ind w:firstLine="360"/>
        <w:rPr>
          <w:rFonts w:ascii="Times New Roman" w:hAnsi="Times New Roman" w:cs="Times New Roman"/>
          <w:sz w:val="24"/>
          <w:szCs w:val="24"/>
        </w:rPr>
      </w:pPr>
      <w:r w:rsidRPr="00595953">
        <w:rPr>
          <w:rFonts w:ascii="Times New Roman" w:hAnsi="Times New Roman" w:cs="Times New Roman"/>
          <w:sz w:val="24"/>
          <w:szCs w:val="24"/>
        </w:rPr>
        <w:t xml:space="preserve"> </w:t>
      </w:r>
      <w:r w:rsidR="00595953" w:rsidRPr="00595953">
        <w:rPr>
          <w:rFonts w:ascii="Times New Roman" w:hAnsi="Times New Roman" w:cs="Times New Roman"/>
          <w:sz w:val="24"/>
          <w:szCs w:val="24"/>
        </w:rPr>
        <w:t xml:space="preserve">Human asset directors and officials have generally centered </w:t>
      </w:r>
      <w:proofErr w:type="gramStart"/>
      <w:r w:rsidR="00595953" w:rsidRPr="00595953">
        <w:rPr>
          <w:rFonts w:ascii="Times New Roman" w:hAnsi="Times New Roman" w:cs="Times New Roman"/>
          <w:sz w:val="24"/>
          <w:szCs w:val="24"/>
        </w:rPr>
        <w:t>around</w:t>
      </w:r>
      <w:proofErr w:type="gramEnd"/>
      <w:r w:rsidR="00595953" w:rsidRPr="00595953">
        <w:rPr>
          <w:rFonts w:ascii="Times New Roman" w:hAnsi="Times New Roman" w:cs="Times New Roman"/>
          <w:sz w:val="24"/>
          <w:szCs w:val="24"/>
        </w:rPr>
        <w:t xml:space="preserve"> basic methods for ability the board, e.g., enlisting, procuring, and holding able and educated representatives. To make </w:t>
      </w:r>
      <w:r w:rsidR="00595953" w:rsidRPr="00595953">
        <w:rPr>
          <w:rFonts w:ascii="Times New Roman" w:hAnsi="Times New Roman" w:cs="Times New Roman"/>
          <w:sz w:val="24"/>
          <w:szCs w:val="24"/>
        </w:rPr>
        <w:lastRenderedPageBreak/>
        <w:t>more elevated amounts of progress, they require devoted, high-performing representatives that utilization client has driven way. Besides, they need to exhibit the ability the board system concentrated on building up the general public driven by procedure based evaluations to help control specialist turnover costs, increment representative fulfillment, and guarantee high client administration levels.</w:t>
      </w:r>
    </w:p>
    <w:p w:rsidR="00202460" w:rsidRPr="009E63D6" w:rsidRDefault="00202460" w:rsidP="009E63D6">
      <w:pPr>
        <w:pStyle w:val="ListParagraph"/>
        <w:numPr>
          <w:ilvl w:val="0"/>
          <w:numId w:val="2"/>
        </w:numPr>
        <w:spacing w:line="480" w:lineRule="auto"/>
        <w:rPr>
          <w:rFonts w:ascii="Times New Roman" w:hAnsi="Times New Roman" w:cs="Times New Roman"/>
          <w:sz w:val="24"/>
          <w:szCs w:val="24"/>
        </w:rPr>
      </w:pPr>
      <w:r w:rsidRPr="009E63D6">
        <w:rPr>
          <w:rFonts w:ascii="Times New Roman" w:hAnsi="Times New Roman" w:cs="Times New Roman"/>
          <w:i/>
          <w:sz w:val="24"/>
          <w:szCs w:val="24"/>
        </w:rPr>
        <w:t>Evaluate the extent to which OCBC’s approach to talent management and development fits other organizations or industries, including some limitations if applied else</w:t>
      </w:r>
      <w:r w:rsidR="009E63D6" w:rsidRPr="009E63D6">
        <w:rPr>
          <w:rFonts w:ascii="Times New Roman" w:hAnsi="Times New Roman" w:cs="Times New Roman"/>
          <w:i/>
          <w:sz w:val="24"/>
          <w:szCs w:val="24"/>
        </w:rPr>
        <w:t>where without modification</w:t>
      </w:r>
      <w:r w:rsidR="009E63D6">
        <w:rPr>
          <w:rFonts w:ascii="Times New Roman" w:hAnsi="Times New Roman" w:cs="Times New Roman"/>
          <w:i/>
          <w:sz w:val="24"/>
          <w:szCs w:val="24"/>
        </w:rPr>
        <w:t>.</w:t>
      </w:r>
    </w:p>
    <w:p w:rsidR="00595953" w:rsidRDefault="00595953" w:rsidP="00595953">
      <w:pPr>
        <w:pStyle w:val="NormalWeb"/>
        <w:spacing w:after="0" w:line="480" w:lineRule="auto"/>
        <w:ind w:firstLine="360"/>
        <w:textAlignment w:val="baseline"/>
      </w:pPr>
      <w:r>
        <w:t xml:space="preserve">OCBC must stay mindful and understand their genuine functional abilities inside enrollment and capacity the executives. The association isn't valuable at overseeing and delivering their own ability would require to depend more on contracting new ability to fulfill the ability prerequisites of this business system. The association must understand the cutoff points of their ability capacities and settle on the best possible choice to either put quickly in tackling their basic inadequacies or get in these lacks. </w:t>
      </w:r>
    </w:p>
    <w:p w:rsidR="00202460" w:rsidRPr="009E63D6" w:rsidRDefault="00595953" w:rsidP="00595953">
      <w:pPr>
        <w:pStyle w:val="NormalWeb"/>
        <w:spacing w:after="0" w:line="480" w:lineRule="auto"/>
        <w:ind w:firstLine="360"/>
        <w:textAlignment w:val="baseline"/>
      </w:pPr>
      <w:r>
        <w:t xml:space="preserve">OCBC's ability the executives include a procedure by which organizations and associations perceive and make capable individuals who will positively affect their associations. It needs to transform into a central component of human asset the board, with the ability the executive's methodologies being created regarding the particular needs and piece of the business and business. The new subject of overall friendliness and business point tends to the topic of whether ability the executives is the significant need in the accommodation area by presenting the distribution of seven articles, notwithstanding a presentation, an end, And the reflection on the theme issue results. Five repeating points are portrayed as being particularly material to </w:t>
      </w:r>
      <w:r>
        <w:lastRenderedPageBreak/>
        <w:t>neighborliness associations when thinking about the key way to deal with the ability of the board. These contain this character of position chiefs at laborer development and prosperity; master association being used as the bar for the frame of mind distinction; the benefit of contextualizing advances to expert administration. The requirement for new and imaginative methods for attempting to accomplish a key way to deal with the ability the board; and hindrances for the advancement of a vital methodology brought about by monetary a</w:t>
      </w:r>
      <w:r w:rsidR="000A3D7F">
        <w:t xml:space="preserve">nd everyday operational weights (Dang, </w:t>
      </w:r>
      <w:r w:rsidR="000A3D7F" w:rsidRPr="000A3D7F">
        <w:t xml:space="preserve">2018). </w:t>
      </w:r>
    </w:p>
    <w:p w:rsidR="00202460" w:rsidRPr="009E63D6" w:rsidRDefault="00202460" w:rsidP="009E63D6">
      <w:pPr>
        <w:pStyle w:val="NormalWeb"/>
        <w:spacing w:after="0" w:line="480" w:lineRule="auto"/>
        <w:ind w:firstLine="360"/>
        <w:textAlignment w:val="baseline"/>
      </w:pPr>
    </w:p>
    <w:p w:rsidR="000A3D7F" w:rsidRDefault="000A3D7F">
      <w:pPr>
        <w:rPr>
          <w:rFonts w:ascii="Times New Roman" w:eastAsia="Times New Roman" w:hAnsi="Times New Roman" w:cs="Times New Roman"/>
          <w:sz w:val="24"/>
          <w:szCs w:val="24"/>
        </w:rPr>
      </w:pPr>
      <w:r>
        <w:br w:type="page"/>
      </w:r>
    </w:p>
    <w:p w:rsidR="00202460" w:rsidRDefault="000A3D7F" w:rsidP="009E63D6">
      <w:pPr>
        <w:pStyle w:val="NormalWeb"/>
        <w:spacing w:before="0" w:beforeAutospacing="0" w:after="0" w:afterAutospacing="0" w:line="480" w:lineRule="auto"/>
        <w:ind w:firstLine="360"/>
        <w:textAlignment w:val="baseline"/>
      </w:pPr>
      <w:r>
        <w:lastRenderedPageBreak/>
        <w:t>References</w:t>
      </w:r>
    </w:p>
    <w:p w:rsidR="000A3D7F" w:rsidRDefault="000A3D7F" w:rsidP="000A3D7F">
      <w:pPr>
        <w:pStyle w:val="NormalWeb"/>
        <w:spacing w:before="0" w:beforeAutospacing="0" w:after="0" w:afterAutospacing="0" w:line="480" w:lineRule="auto"/>
        <w:ind w:left="720" w:hanging="720"/>
        <w:textAlignment w:val="baseline"/>
      </w:pPr>
      <w:proofErr w:type="spellStart"/>
      <w:proofErr w:type="gramStart"/>
      <w:r w:rsidRPr="000A3D7F">
        <w:t>Choudhry</w:t>
      </w:r>
      <w:proofErr w:type="spellEnd"/>
      <w:r w:rsidRPr="000A3D7F">
        <w:t>, M. (2018).</w:t>
      </w:r>
      <w:proofErr w:type="gramEnd"/>
      <w:r w:rsidRPr="000A3D7F">
        <w:t> </w:t>
      </w:r>
      <w:r w:rsidRPr="000A3D7F">
        <w:rPr>
          <w:i/>
          <w:iCs/>
        </w:rPr>
        <w:t xml:space="preserve">The </w:t>
      </w:r>
      <w:proofErr w:type="spellStart"/>
      <w:r w:rsidRPr="000A3D7F">
        <w:rPr>
          <w:i/>
          <w:iCs/>
        </w:rPr>
        <w:t>Moorad</w:t>
      </w:r>
      <w:proofErr w:type="spellEnd"/>
      <w:r w:rsidRPr="000A3D7F">
        <w:rPr>
          <w:i/>
          <w:iCs/>
        </w:rPr>
        <w:t xml:space="preserve"> </w:t>
      </w:r>
      <w:proofErr w:type="spellStart"/>
      <w:r w:rsidRPr="000A3D7F">
        <w:rPr>
          <w:i/>
          <w:iCs/>
        </w:rPr>
        <w:t>Choudhry</w:t>
      </w:r>
      <w:proofErr w:type="spellEnd"/>
      <w:r w:rsidRPr="000A3D7F">
        <w:rPr>
          <w:i/>
          <w:iCs/>
        </w:rPr>
        <w:t xml:space="preserve"> Anthology: Past, Present and Future Principles of Banking and Finance</w:t>
      </w:r>
      <w:r w:rsidRPr="000A3D7F">
        <w:t xml:space="preserve">. </w:t>
      </w:r>
      <w:proofErr w:type="gramStart"/>
      <w:r w:rsidRPr="000A3D7F">
        <w:t>John Wiley &amp; Sons.</w:t>
      </w:r>
      <w:proofErr w:type="gramEnd"/>
    </w:p>
    <w:p w:rsidR="000A3D7F" w:rsidRPr="009E63D6" w:rsidRDefault="000A3D7F" w:rsidP="000A3D7F">
      <w:pPr>
        <w:pStyle w:val="NormalWeb"/>
        <w:spacing w:before="0" w:beforeAutospacing="0" w:after="0" w:afterAutospacing="0" w:line="480" w:lineRule="auto"/>
        <w:ind w:left="720" w:hanging="720"/>
        <w:textAlignment w:val="baseline"/>
      </w:pPr>
      <w:proofErr w:type="gramStart"/>
      <w:r w:rsidRPr="000A3D7F">
        <w:t>Dang, A. (2018).</w:t>
      </w:r>
      <w:proofErr w:type="gramEnd"/>
      <w:r w:rsidRPr="000A3D7F">
        <w:t xml:space="preserve"> </w:t>
      </w:r>
      <w:proofErr w:type="gramStart"/>
      <w:r w:rsidRPr="000A3D7F">
        <w:t>FINTECH ECOSYSTEM IN VIETNAM.</w:t>
      </w:r>
      <w:proofErr w:type="gramEnd"/>
    </w:p>
    <w:p w:rsidR="000A3D7F" w:rsidRDefault="000A3D7F" w:rsidP="000A3D7F">
      <w:pPr>
        <w:pStyle w:val="NormalWeb"/>
        <w:spacing w:before="0" w:beforeAutospacing="0" w:after="0" w:afterAutospacing="0" w:line="480" w:lineRule="auto"/>
        <w:ind w:left="720" w:hanging="720"/>
        <w:textAlignment w:val="baseline"/>
      </w:pPr>
      <w:proofErr w:type="spellStart"/>
      <w:r w:rsidRPr="000A3D7F">
        <w:t>Nurdin</w:t>
      </w:r>
      <w:proofErr w:type="spellEnd"/>
      <w:r w:rsidRPr="000A3D7F">
        <w:t>, N. M. (2017). </w:t>
      </w:r>
      <w:r w:rsidRPr="000A3D7F">
        <w:rPr>
          <w:i/>
          <w:iCs/>
        </w:rPr>
        <w:t>Inter-firm Linkages, Creditworthiness and Access to Finance in Malaysian Manufacturing Small Medium Enterprises</w:t>
      </w:r>
      <w:r w:rsidRPr="000A3D7F">
        <w:t> (Doctoral dissertation, Multimedia University (Malaysia)).</w:t>
      </w:r>
    </w:p>
    <w:sectPr w:rsidR="000A3D7F" w:rsidSect="00E05C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B18" w:rsidRDefault="00D00B18" w:rsidP="00D903BE">
      <w:pPr>
        <w:spacing w:after="0" w:line="240" w:lineRule="auto"/>
      </w:pPr>
      <w:r>
        <w:separator/>
      </w:r>
    </w:p>
  </w:endnote>
  <w:endnote w:type="continuationSeparator" w:id="0">
    <w:p w:rsidR="00D00B18" w:rsidRDefault="00D00B18" w:rsidP="00D903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B18" w:rsidRDefault="00D00B18" w:rsidP="00D903BE">
      <w:pPr>
        <w:spacing w:after="0" w:line="240" w:lineRule="auto"/>
      </w:pPr>
      <w:r>
        <w:separator/>
      </w:r>
    </w:p>
  </w:footnote>
  <w:footnote w:type="continuationSeparator" w:id="0">
    <w:p w:rsidR="00D00B18" w:rsidRDefault="00D00B18" w:rsidP="00D903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6304"/>
      <w:docPartObj>
        <w:docPartGallery w:val="Page Numbers (Top of Page)"/>
        <w:docPartUnique/>
      </w:docPartObj>
    </w:sdtPr>
    <w:sdtContent>
      <w:p w:rsidR="00E05C1B" w:rsidRDefault="00E05C1B" w:rsidP="00E05C1B">
        <w:pPr>
          <w:pStyle w:val="Header"/>
          <w:spacing w:line="480" w:lineRule="auto"/>
        </w:pPr>
        <w:r w:rsidRPr="00E05C1B">
          <w:rPr>
            <w:rFonts w:ascii="Times New Roman" w:hAnsi="Times New Roman" w:cs="Times New Roman"/>
            <w:sz w:val="24"/>
            <w:szCs w:val="24"/>
          </w:rPr>
          <w:t xml:space="preserve">OCBC, MORE THAN JUST </w:t>
        </w:r>
        <w:bookmarkStart w:id="0" w:name="_GoBack"/>
        <w:bookmarkEnd w:id="0"/>
        <w:r w:rsidRPr="00E05C1B">
          <w:rPr>
            <w:rFonts w:ascii="Times New Roman" w:hAnsi="Times New Roman" w:cs="Times New Roman"/>
            <w:sz w:val="24"/>
            <w:szCs w:val="24"/>
          </w:rPr>
          <w:t>MONEY</w:t>
        </w:r>
        <w:r>
          <w:rPr>
            <w:rFonts w:ascii="Times New Roman" w:hAnsi="Times New Roman" w:cs="Times New Roman"/>
            <w:sz w:val="24"/>
            <w:szCs w:val="24"/>
          </w:rPr>
          <w:tab/>
        </w:r>
        <w:r>
          <w:rPr>
            <w:rFonts w:ascii="Times New Roman" w:hAnsi="Times New Roman" w:cs="Times New Roman"/>
            <w:sz w:val="24"/>
            <w:szCs w:val="24"/>
          </w:rPr>
          <w:tab/>
        </w:r>
        <w:r w:rsidRPr="00E05C1B">
          <w:rPr>
            <w:rFonts w:ascii="Times New Roman" w:hAnsi="Times New Roman" w:cs="Times New Roman"/>
            <w:sz w:val="24"/>
            <w:szCs w:val="24"/>
          </w:rPr>
          <w:t xml:space="preserve"> </w:t>
        </w:r>
        <w:r w:rsidRPr="00E05C1B">
          <w:rPr>
            <w:rFonts w:ascii="Times New Roman" w:hAnsi="Times New Roman" w:cs="Times New Roman"/>
            <w:sz w:val="24"/>
            <w:szCs w:val="24"/>
          </w:rPr>
          <w:fldChar w:fldCharType="begin"/>
        </w:r>
        <w:r w:rsidRPr="00E05C1B">
          <w:rPr>
            <w:rFonts w:ascii="Times New Roman" w:hAnsi="Times New Roman" w:cs="Times New Roman"/>
            <w:sz w:val="24"/>
            <w:szCs w:val="24"/>
          </w:rPr>
          <w:instrText xml:space="preserve"> PAGE   \* MERGEFORMAT </w:instrText>
        </w:r>
        <w:r w:rsidRPr="00E05C1B">
          <w:rPr>
            <w:rFonts w:ascii="Times New Roman" w:hAnsi="Times New Roman" w:cs="Times New Roman"/>
            <w:sz w:val="24"/>
            <w:szCs w:val="24"/>
          </w:rPr>
          <w:fldChar w:fldCharType="separate"/>
        </w:r>
        <w:r w:rsidR="000A3D7F">
          <w:rPr>
            <w:rFonts w:ascii="Times New Roman" w:hAnsi="Times New Roman" w:cs="Times New Roman"/>
            <w:noProof/>
            <w:sz w:val="24"/>
            <w:szCs w:val="24"/>
          </w:rPr>
          <w:t>6</w:t>
        </w:r>
        <w:r w:rsidRPr="00E05C1B">
          <w:rPr>
            <w:rFonts w:ascii="Times New Roman" w:hAnsi="Times New Roman" w:cs="Times New Roman"/>
            <w:sz w:val="24"/>
            <w:szCs w:val="24"/>
          </w:rPr>
          <w:fldChar w:fldCharType="end"/>
        </w:r>
      </w:p>
    </w:sdtContent>
  </w:sdt>
  <w:p w:rsidR="00D903BE" w:rsidRPr="00D903BE" w:rsidRDefault="00D903B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BE" w:rsidRDefault="00E05C1B">
    <w:pPr>
      <w:pStyle w:val="Header"/>
    </w:pPr>
    <w:r>
      <w:rPr>
        <w:rFonts w:ascii="Times New Roman" w:hAnsi="Times New Roman" w:cs="Times New Roman"/>
        <w:sz w:val="24"/>
        <w:szCs w:val="24"/>
      </w:rPr>
      <w:t>Running Head: OCBC, MORE THAN JUST MONEY</w:t>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E1071"/>
    <w:multiLevelType w:val="multilevel"/>
    <w:tmpl w:val="0F464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208B3922"/>
    <w:multiLevelType w:val="multilevel"/>
    <w:tmpl w:val="0F464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3AB317BD"/>
    <w:multiLevelType w:val="multilevel"/>
    <w:tmpl w:val="0F464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44F06474"/>
    <w:multiLevelType w:val="multilevel"/>
    <w:tmpl w:val="0F464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903BE"/>
    <w:rsid w:val="000A3D7F"/>
    <w:rsid w:val="00202460"/>
    <w:rsid w:val="002F13D5"/>
    <w:rsid w:val="00583510"/>
    <w:rsid w:val="00595953"/>
    <w:rsid w:val="006C76FC"/>
    <w:rsid w:val="008115AF"/>
    <w:rsid w:val="008552E5"/>
    <w:rsid w:val="008F54A9"/>
    <w:rsid w:val="00944056"/>
    <w:rsid w:val="009E63D6"/>
    <w:rsid w:val="00AB0087"/>
    <w:rsid w:val="00BF09A4"/>
    <w:rsid w:val="00CC4BC8"/>
    <w:rsid w:val="00D00B18"/>
    <w:rsid w:val="00D903BE"/>
    <w:rsid w:val="00E05C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51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03BE"/>
    <w:rPr>
      <w:color w:val="0563C1" w:themeColor="hyperlink"/>
      <w:u w:val="single"/>
    </w:rPr>
  </w:style>
  <w:style w:type="paragraph" w:styleId="Header">
    <w:name w:val="header"/>
    <w:basedOn w:val="Normal"/>
    <w:link w:val="HeaderChar"/>
    <w:uiPriority w:val="99"/>
    <w:unhideWhenUsed/>
    <w:rsid w:val="00D903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3BE"/>
  </w:style>
  <w:style w:type="paragraph" w:styleId="Footer">
    <w:name w:val="footer"/>
    <w:basedOn w:val="Normal"/>
    <w:link w:val="FooterChar"/>
    <w:uiPriority w:val="99"/>
    <w:unhideWhenUsed/>
    <w:rsid w:val="00D903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3BE"/>
  </w:style>
  <w:style w:type="paragraph" w:styleId="NormalWeb">
    <w:name w:val="Normal (Web)"/>
    <w:basedOn w:val="Normal"/>
    <w:uiPriority w:val="99"/>
    <w:unhideWhenUsed/>
    <w:rsid w:val="009440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F54A9"/>
    <w:pPr>
      <w:ind w:left="720"/>
      <w:contextualSpacing/>
    </w:pPr>
  </w:style>
</w:styles>
</file>

<file path=word/webSettings.xml><?xml version="1.0" encoding="utf-8"?>
<w:webSettings xmlns:r="http://schemas.openxmlformats.org/officeDocument/2006/relationships" xmlns:w="http://schemas.openxmlformats.org/wordprocessingml/2006/main">
  <w:divs>
    <w:div w:id="580992413">
      <w:bodyDiv w:val="1"/>
      <w:marLeft w:val="0"/>
      <w:marRight w:val="0"/>
      <w:marTop w:val="0"/>
      <w:marBottom w:val="0"/>
      <w:divBdr>
        <w:top w:val="none" w:sz="0" w:space="0" w:color="auto"/>
        <w:left w:val="none" w:sz="0" w:space="0" w:color="auto"/>
        <w:bottom w:val="none" w:sz="0" w:space="0" w:color="auto"/>
        <w:right w:val="none" w:sz="0" w:space="0" w:color="auto"/>
      </w:divBdr>
    </w:div>
    <w:div w:id="696391252">
      <w:bodyDiv w:val="1"/>
      <w:marLeft w:val="0"/>
      <w:marRight w:val="0"/>
      <w:marTop w:val="0"/>
      <w:marBottom w:val="0"/>
      <w:divBdr>
        <w:top w:val="none" w:sz="0" w:space="0" w:color="auto"/>
        <w:left w:val="none" w:sz="0" w:space="0" w:color="auto"/>
        <w:bottom w:val="none" w:sz="0" w:space="0" w:color="auto"/>
        <w:right w:val="none" w:sz="0" w:space="0" w:color="auto"/>
      </w:divBdr>
    </w:div>
    <w:div w:id="989137304">
      <w:bodyDiv w:val="1"/>
      <w:marLeft w:val="0"/>
      <w:marRight w:val="0"/>
      <w:marTop w:val="0"/>
      <w:marBottom w:val="0"/>
      <w:divBdr>
        <w:top w:val="none" w:sz="0" w:space="0" w:color="auto"/>
        <w:left w:val="none" w:sz="0" w:space="0" w:color="auto"/>
        <w:bottom w:val="none" w:sz="0" w:space="0" w:color="auto"/>
        <w:right w:val="none" w:sz="0" w:space="0" w:color="auto"/>
      </w:divBdr>
    </w:div>
    <w:div w:id="1087772154">
      <w:bodyDiv w:val="1"/>
      <w:marLeft w:val="0"/>
      <w:marRight w:val="0"/>
      <w:marTop w:val="0"/>
      <w:marBottom w:val="0"/>
      <w:divBdr>
        <w:top w:val="none" w:sz="0" w:space="0" w:color="auto"/>
        <w:left w:val="none" w:sz="0" w:space="0" w:color="auto"/>
        <w:bottom w:val="none" w:sz="0" w:space="0" w:color="auto"/>
        <w:right w:val="none" w:sz="0" w:space="0" w:color="auto"/>
      </w:divBdr>
    </w:div>
    <w:div w:id="1435250839">
      <w:bodyDiv w:val="1"/>
      <w:marLeft w:val="0"/>
      <w:marRight w:val="0"/>
      <w:marTop w:val="0"/>
      <w:marBottom w:val="0"/>
      <w:divBdr>
        <w:top w:val="none" w:sz="0" w:space="0" w:color="auto"/>
        <w:left w:val="none" w:sz="0" w:space="0" w:color="auto"/>
        <w:bottom w:val="none" w:sz="0" w:space="0" w:color="auto"/>
        <w:right w:val="none" w:sz="0" w:space="0" w:color="auto"/>
      </w:divBdr>
    </w:div>
    <w:div w:id="1682967418">
      <w:bodyDiv w:val="1"/>
      <w:marLeft w:val="0"/>
      <w:marRight w:val="0"/>
      <w:marTop w:val="0"/>
      <w:marBottom w:val="0"/>
      <w:divBdr>
        <w:top w:val="none" w:sz="0" w:space="0" w:color="auto"/>
        <w:left w:val="none" w:sz="0" w:space="0" w:color="auto"/>
        <w:bottom w:val="none" w:sz="0" w:space="0" w:color="auto"/>
        <w:right w:val="none" w:sz="0" w:space="0" w:color="auto"/>
      </w:divBdr>
    </w:div>
    <w:div w:id="172741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7</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Valencia College</Company>
  <LinksUpToDate>false</LinksUpToDate>
  <CharactersWithSpaces>8533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Shasta Longley</dc:creator>
  <cp:keywords/>
  <dc:description/>
  <cp:lastModifiedBy>martin</cp:lastModifiedBy>
  <cp:revision>9</cp:revision>
  <dcterms:created xsi:type="dcterms:W3CDTF">2019-07-10T21:44:00Z</dcterms:created>
  <dcterms:modified xsi:type="dcterms:W3CDTF">2019-07-15T15:47:00Z</dcterms:modified>
</cp:coreProperties>
</file>